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9AE" w:rsidRPr="008F3471" w:rsidRDefault="005939AE" w:rsidP="005939AE">
      <w:pPr>
        <w:spacing w:line="360" w:lineRule="auto"/>
        <w:jc w:val="center"/>
        <w:rPr>
          <w:rFonts w:ascii="Georgia" w:hAnsi="Georgia" w:cs="Arial"/>
          <w:b/>
          <w:sz w:val="24"/>
          <w:szCs w:val="24"/>
        </w:rPr>
      </w:pPr>
      <w:r w:rsidRPr="008F3471">
        <w:rPr>
          <w:rFonts w:ascii="Georgia" w:hAnsi="Georgia" w:cs="Arial"/>
          <w:b/>
          <w:sz w:val="24"/>
          <w:szCs w:val="24"/>
        </w:rPr>
        <w:t>ANALISIS DE LOS INDICADORES DE GESTION CORRESPONDIENTE AL</w:t>
      </w:r>
    </w:p>
    <w:p w:rsidR="005939AE" w:rsidRPr="008F3471" w:rsidRDefault="005939AE" w:rsidP="005939AE">
      <w:pPr>
        <w:spacing w:line="360" w:lineRule="auto"/>
        <w:jc w:val="center"/>
        <w:rPr>
          <w:rFonts w:ascii="Georgia" w:hAnsi="Georgia" w:cs="Arial"/>
          <w:b/>
          <w:sz w:val="24"/>
          <w:szCs w:val="24"/>
        </w:rPr>
      </w:pPr>
      <w:r w:rsidRPr="008F3471">
        <w:rPr>
          <w:rFonts w:ascii="Georgia" w:hAnsi="Georgia" w:cs="Arial"/>
          <w:b/>
          <w:sz w:val="24"/>
          <w:szCs w:val="24"/>
        </w:rPr>
        <w:t xml:space="preserve"> PERIODO 201</w:t>
      </w:r>
      <w:r w:rsidR="000542AA">
        <w:rPr>
          <w:rFonts w:ascii="Georgia" w:hAnsi="Georgia" w:cs="Arial"/>
          <w:b/>
          <w:sz w:val="24"/>
          <w:szCs w:val="24"/>
        </w:rPr>
        <w:t>8</w:t>
      </w:r>
    </w:p>
    <w:p w:rsidR="005939AE" w:rsidRPr="00400CEA" w:rsidRDefault="005939AE" w:rsidP="005939AE">
      <w:pPr>
        <w:spacing w:line="360" w:lineRule="auto"/>
        <w:jc w:val="both"/>
        <w:rPr>
          <w:rFonts w:ascii="Georgia" w:hAnsi="Georgia" w:cs="Arial"/>
        </w:rPr>
      </w:pPr>
      <w:r w:rsidRPr="00400CEA">
        <w:rPr>
          <w:rFonts w:ascii="Georgia" w:hAnsi="Georgia" w:cs="Arial"/>
        </w:rPr>
        <w:t xml:space="preserve">A </w:t>
      </w:r>
      <w:r w:rsidR="007075DE" w:rsidRPr="00400CEA">
        <w:rPr>
          <w:rFonts w:ascii="Georgia" w:hAnsi="Georgia" w:cs="Arial"/>
        </w:rPr>
        <w:t>continuación,</w:t>
      </w:r>
      <w:r w:rsidRPr="00400CEA">
        <w:rPr>
          <w:rFonts w:ascii="Georgia" w:hAnsi="Georgia" w:cs="Arial"/>
        </w:rPr>
        <w:t xml:space="preserve"> se presenta el análisis de los resultados de los indicadores de gestión, establecido según el formato suministrado por la Contraloría General de la República en la matriz para evaluar el Plan Operativo Anual, mediante el cual se mide la eficacia en el cumplimiento de las metas.</w:t>
      </w:r>
    </w:p>
    <w:p w:rsidR="005939AE" w:rsidRPr="00400CEA" w:rsidRDefault="005939AE" w:rsidP="005939AE">
      <w:pPr>
        <w:spacing w:after="0" w:line="360" w:lineRule="auto"/>
        <w:jc w:val="both"/>
        <w:rPr>
          <w:rFonts w:ascii="Georgia" w:hAnsi="Georgia" w:cs="Arial"/>
          <w:b/>
        </w:rPr>
      </w:pPr>
      <w:r w:rsidRPr="00400CEA">
        <w:rPr>
          <w:rFonts w:ascii="Georgia" w:hAnsi="Georgia" w:cs="Arial"/>
          <w:b/>
        </w:rPr>
        <w:t>Cumplimiento de metas: Evalúa en qué medida se cumplieron las metas programadas durante el período.</w:t>
      </w:r>
    </w:p>
    <w:p w:rsidR="00CB2F64" w:rsidRDefault="005939AE" w:rsidP="005939AE">
      <w:pPr>
        <w:spacing w:line="360" w:lineRule="auto"/>
        <w:jc w:val="both"/>
        <w:rPr>
          <w:rFonts w:ascii="Georgia" w:hAnsi="Georgia" w:cs="Arial"/>
        </w:rPr>
      </w:pPr>
      <w:r w:rsidRPr="00400CEA">
        <w:rPr>
          <w:rFonts w:ascii="Georgia" w:hAnsi="Georgia" w:cs="Arial"/>
        </w:rPr>
        <w:t xml:space="preserve">Durante </w:t>
      </w:r>
      <w:r w:rsidR="008F3471" w:rsidRPr="00400CEA">
        <w:rPr>
          <w:rFonts w:ascii="Georgia" w:hAnsi="Georgia" w:cs="Arial"/>
        </w:rPr>
        <w:t>el periodo</w:t>
      </w:r>
      <w:r w:rsidRPr="00400CEA">
        <w:rPr>
          <w:rFonts w:ascii="Georgia" w:hAnsi="Georgia" w:cs="Arial"/>
        </w:rPr>
        <w:t xml:space="preserve"> 201</w:t>
      </w:r>
      <w:r w:rsidR="000542AA">
        <w:rPr>
          <w:rFonts w:ascii="Georgia" w:hAnsi="Georgia" w:cs="Arial"/>
        </w:rPr>
        <w:t>8</w:t>
      </w:r>
      <w:r w:rsidRPr="00400CEA">
        <w:rPr>
          <w:rFonts w:ascii="Georgia" w:hAnsi="Georgia" w:cs="Arial"/>
        </w:rPr>
        <w:t xml:space="preserve"> se programó   la ejecución del</w:t>
      </w:r>
      <w:r w:rsidR="007075DE">
        <w:rPr>
          <w:rFonts w:ascii="Georgia" w:hAnsi="Georgia" w:cs="Arial"/>
        </w:rPr>
        <w:t>24</w:t>
      </w:r>
      <w:r w:rsidR="000542AA">
        <w:rPr>
          <w:rFonts w:ascii="Georgia" w:hAnsi="Georgia" w:cs="Arial"/>
        </w:rPr>
        <w:t>x</w:t>
      </w:r>
      <w:r w:rsidRPr="00400CEA">
        <w:rPr>
          <w:rFonts w:ascii="Georgia" w:hAnsi="Georgia" w:cs="Arial"/>
        </w:rPr>
        <w:t>% durante el I semestre del año y un</w:t>
      </w:r>
      <w:r w:rsidR="000542AA">
        <w:rPr>
          <w:rFonts w:ascii="Georgia" w:hAnsi="Georgia" w:cs="Arial"/>
        </w:rPr>
        <w:t xml:space="preserve"> </w:t>
      </w:r>
      <w:r w:rsidR="007075DE">
        <w:rPr>
          <w:rFonts w:ascii="Georgia" w:hAnsi="Georgia" w:cs="Arial"/>
        </w:rPr>
        <w:t>76</w:t>
      </w:r>
      <w:r w:rsidRPr="00400CEA">
        <w:rPr>
          <w:rFonts w:ascii="Georgia" w:hAnsi="Georgia" w:cs="Arial"/>
        </w:rPr>
        <w:t xml:space="preserve">% durante el II </w:t>
      </w:r>
      <w:r w:rsidR="00577368" w:rsidRPr="00400CEA">
        <w:rPr>
          <w:rFonts w:ascii="Georgia" w:hAnsi="Georgia" w:cs="Arial"/>
        </w:rPr>
        <w:t xml:space="preserve">semestre, </w:t>
      </w:r>
      <w:r w:rsidR="00577368">
        <w:rPr>
          <w:rFonts w:ascii="Georgia" w:hAnsi="Georgia" w:cs="Arial"/>
        </w:rPr>
        <w:t>Al</w:t>
      </w:r>
      <w:r w:rsidRPr="00400CEA">
        <w:rPr>
          <w:rFonts w:ascii="Georgia" w:hAnsi="Georgia" w:cs="Arial"/>
        </w:rPr>
        <w:t xml:space="preserve"> final de año 201</w:t>
      </w:r>
      <w:r w:rsidR="000542AA">
        <w:rPr>
          <w:rFonts w:ascii="Georgia" w:hAnsi="Georgia" w:cs="Arial"/>
        </w:rPr>
        <w:t>8</w:t>
      </w:r>
      <w:r w:rsidRPr="00400CEA">
        <w:rPr>
          <w:rFonts w:ascii="Georgia" w:hAnsi="Georgia" w:cs="Arial"/>
        </w:rPr>
        <w:t xml:space="preserve"> se </w:t>
      </w:r>
      <w:r w:rsidR="00577368" w:rsidRPr="00400CEA">
        <w:rPr>
          <w:rFonts w:ascii="Georgia" w:hAnsi="Georgia" w:cs="Arial"/>
        </w:rPr>
        <w:t>alcanzó el</w:t>
      </w:r>
      <w:r w:rsidRPr="00400CEA">
        <w:rPr>
          <w:rFonts w:ascii="Georgia" w:hAnsi="Georgia" w:cs="Arial"/>
        </w:rPr>
        <w:t xml:space="preserve"> cumplimiento de un </w:t>
      </w:r>
      <w:r w:rsidR="007075DE">
        <w:rPr>
          <w:rFonts w:ascii="Georgia" w:hAnsi="Georgia" w:cs="Arial"/>
        </w:rPr>
        <w:t>97.2</w:t>
      </w:r>
      <w:r w:rsidRPr="00400CEA">
        <w:rPr>
          <w:rFonts w:ascii="Georgia" w:hAnsi="Georgia" w:cs="Arial"/>
        </w:rPr>
        <w:t xml:space="preserve">% del total de metas programadas para el período.  </w:t>
      </w:r>
    </w:p>
    <w:p w:rsidR="005939AE" w:rsidRDefault="005939AE" w:rsidP="005939AE">
      <w:pPr>
        <w:spacing w:line="360" w:lineRule="auto"/>
        <w:jc w:val="both"/>
        <w:rPr>
          <w:rFonts w:ascii="Georgia" w:hAnsi="Georgia" w:cs="Arial"/>
        </w:rPr>
      </w:pPr>
      <w:r w:rsidRPr="00400CEA">
        <w:rPr>
          <w:rFonts w:ascii="Georgia" w:hAnsi="Georgia" w:cs="Arial"/>
        </w:rPr>
        <w:t>Durante todo el año se realizó un seguimiento constante de los proyectos y metas programadas para el período a fin de poder determinar oportunamente situaciones que afectaran el cumplimiento de metas con el fin de tomar medidas correctivas y reprogramar algunos proyectos que se determinó que por circunstancias en el proceso de contratación y ejecución  retrasaría su ejecución final, sin embargo al final del periodo se presentaron situaciones fuera del control de la municipalidad que impidió el cumplimiento del 100% de las metas.</w:t>
      </w:r>
    </w:p>
    <w:p w:rsidR="005939AE" w:rsidRPr="00400CEA" w:rsidRDefault="005939AE" w:rsidP="005939AE">
      <w:pPr>
        <w:spacing w:line="360" w:lineRule="auto"/>
        <w:jc w:val="both"/>
        <w:rPr>
          <w:rFonts w:ascii="Georgia" w:hAnsi="Georgia" w:cs="Arial"/>
        </w:rPr>
      </w:pPr>
      <w:r w:rsidRPr="00400CEA">
        <w:rPr>
          <w:rFonts w:ascii="Georgia" w:hAnsi="Georgia" w:cs="Arial"/>
        </w:rPr>
        <w:t xml:space="preserve">A nivel de las metas de los objetivos de </w:t>
      </w:r>
      <w:r w:rsidR="008F3471" w:rsidRPr="00400CEA">
        <w:rPr>
          <w:rFonts w:ascii="Georgia" w:hAnsi="Georgia" w:cs="Arial"/>
        </w:rPr>
        <w:t>mejora,</w:t>
      </w:r>
      <w:r w:rsidR="008F3471">
        <w:rPr>
          <w:rFonts w:ascii="Georgia" w:hAnsi="Georgia" w:cs="Arial"/>
        </w:rPr>
        <w:t xml:space="preserve"> </w:t>
      </w:r>
      <w:r w:rsidR="008F3471" w:rsidRPr="00400CEA">
        <w:rPr>
          <w:rFonts w:ascii="Georgia" w:hAnsi="Georgia" w:cs="Arial"/>
        </w:rPr>
        <w:t>se</w:t>
      </w:r>
      <w:r w:rsidRPr="00400CEA">
        <w:rPr>
          <w:rFonts w:ascii="Georgia" w:hAnsi="Georgia" w:cs="Arial"/>
        </w:rPr>
        <w:t xml:space="preserve"> alcanzó un </w:t>
      </w:r>
      <w:r w:rsidR="007075DE">
        <w:rPr>
          <w:rFonts w:ascii="Georgia" w:hAnsi="Georgia" w:cs="Arial"/>
        </w:rPr>
        <w:t>97</w:t>
      </w:r>
      <w:r w:rsidRPr="00400CEA">
        <w:rPr>
          <w:rFonts w:ascii="Georgia" w:hAnsi="Georgia" w:cs="Arial"/>
        </w:rPr>
        <w:t>% de ejecución</w:t>
      </w:r>
      <w:r>
        <w:rPr>
          <w:rFonts w:ascii="Georgia" w:hAnsi="Georgia" w:cs="Arial"/>
        </w:rPr>
        <w:t xml:space="preserve"> y </w:t>
      </w:r>
      <w:r w:rsidR="008F3471">
        <w:rPr>
          <w:rFonts w:ascii="Georgia" w:hAnsi="Georgia" w:cs="Arial"/>
        </w:rPr>
        <w:t xml:space="preserve">con </w:t>
      </w:r>
      <w:r w:rsidR="008F3471" w:rsidRPr="00400CEA">
        <w:rPr>
          <w:rFonts w:ascii="Georgia" w:hAnsi="Georgia" w:cs="Arial"/>
        </w:rPr>
        <w:t>respecto</w:t>
      </w:r>
      <w:r w:rsidRPr="00400CEA">
        <w:rPr>
          <w:rFonts w:ascii="Georgia" w:hAnsi="Georgia" w:cs="Arial"/>
        </w:rPr>
        <w:t xml:space="preserve"> a las metas de los objetivos operativos se alcanzó un cumplimiento de un</w:t>
      </w:r>
      <w:r w:rsidR="007075DE">
        <w:rPr>
          <w:rFonts w:ascii="Georgia" w:hAnsi="Georgia" w:cs="Arial"/>
        </w:rPr>
        <w:t xml:space="preserve"> 96</w:t>
      </w:r>
      <w:r w:rsidRPr="00400CEA">
        <w:rPr>
          <w:rFonts w:ascii="Georgia" w:hAnsi="Georgia" w:cs="Arial"/>
        </w:rPr>
        <w:t xml:space="preserve">%. </w:t>
      </w:r>
    </w:p>
    <w:p w:rsidR="005939AE" w:rsidRPr="001D2FF2" w:rsidRDefault="005939AE" w:rsidP="005939AE">
      <w:pPr>
        <w:spacing w:line="360" w:lineRule="auto"/>
        <w:jc w:val="both"/>
        <w:rPr>
          <w:rFonts w:ascii="Georgia" w:hAnsi="Georgia" w:cs="Arial"/>
        </w:rPr>
      </w:pPr>
      <w:r w:rsidRPr="001D2FF2">
        <w:rPr>
          <w:rFonts w:ascii="Georgia" w:hAnsi="Georgia" w:cs="Arial"/>
        </w:rPr>
        <w:t>Cabe indicar que muchas de las metas se alcanzaron en un 100% durante el II semestre gracias al esfuerzo realizado con el fin de subsanar algunos factores que afectaron el cumplimiento de lo programado durante el I semestre, sin embargo de acuerdo a la estructura de la matriz de planificación este esfuerzo no se puede reflejar ya que la matriz solo contempla lo programado para el período aunque al final se alcanzara el 100%.</w:t>
      </w:r>
    </w:p>
    <w:p w:rsidR="005939AE" w:rsidRDefault="005939AE" w:rsidP="005939AE">
      <w:pPr>
        <w:spacing w:after="0" w:line="360" w:lineRule="auto"/>
        <w:jc w:val="both"/>
        <w:rPr>
          <w:rFonts w:ascii="Georgia" w:hAnsi="Georgia" w:cs="Arial"/>
        </w:rPr>
      </w:pPr>
      <w:r w:rsidRPr="001D2FF2">
        <w:rPr>
          <w:rFonts w:ascii="Georgia" w:hAnsi="Georgia" w:cs="Arial"/>
        </w:rPr>
        <w:t>El cumplimiento de metas durante el período 201</w:t>
      </w:r>
      <w:r w:rsidR="007075DE">
        <w:rPr>
          <w:rFonts w:ascii="Georgia" w:hAnsi="Georgia" w:cs="Arial"/>
        </w:rPr>
        <w:t>8</w:t>
      </w:r>
      <w:r w:rsidRPr="001D2FF2">
        <w:rPr>
          <w:rFonts w:ascii="Georgia" w:hAnsi="Georgia" w:cs="Arial"/>
        </w:rPr>
        <w:t>, contribuyó al cumplimiento de los objetivos establecidos en los planes de desarrollo de mediano y largo plazo</w:t>
      </w:r>
      <w:r>
        <w:rPr>
          <w:rFonts w:ascii="Georgia" w:hAnsi="Georgia" w:cs="Arial"/>
        </w:rPr>
        <w:t>.</w:t>
      </w:r>
    </w:p>
    <w:p w:rsidR="005939AE" w:rsidRPr="00400CEA" w:rsidRDefault="005939AE" w:rsidP="005939AE">
      <w:pPr>
        <w:spacing w:after="0" w:line="360" w:lineRule="auto"/>
        <w:jc w:val="both"/>
        <w:rPr>
          <w:rFonts w:ascii="Georgia" w:hAnsi="Georgia" w:cs="Arial"/>
        </w:rPr>
      </w:pPr>
    </w:p>
    <w:p w:rsidR="005939AE" w:rsidRPr="00400CEA" w:rsidRDefault="005939AE" w:rsidP="005939AE">
      <w:pPr>
        <w:spacing w:line="360" w:lineRule="auto"/>
        <w:jc w:val="both"/>
        <w:rPr>
          <w:rFonts w:ascii="Georgia" w:hAnsi="Georgia" w:cs="Arial"/>
          <w:b/>
        </w:rPr>
      </w:pPr>
      <w:r w:rsidRPr="00400CEA">
        <w:rPr>
          <w:rFonts w:ascii="Georgia" w:hAnsi="Georgia" w:cs="Arial"/>
          <w:b/>
        </w:rPr>
        <w:t>1.2. EJECUCION DEL PRESUPUESTO.</w:t>
      </w:r>
    </w:p>
    <w:p w:rsidR="005939AE" w:rsidRPr="00400CEA" w:rsidRDefault="00C47007" w:rsidP="005939AE">
      <w:pPr>
        <w:spacing w:line="360" w:lineRule="auto"/>
        <w:jc w:val="both"/>
        <w:rPr>
          <w:rFonts w:ascii="Georgia" w:hAnsi="Georgia" w:cs="Arial"/>
        </w:rPr>
      </w:pPr>
      <w:r w:rsidRPr="00400CEA">
        <w:rPr>
          <w:rFonts w:ascii="Georgia" w:hAnsi="Georgia" w:cs="Arial"/>
        </w:rPr>
        <w:t>De acuerdo con</w:t>
      </w:r>
      <w:r w:rsidR="005939AE" w:rsidRPr="00400CEA">
        <w:rPr>
          <w:rFonts w:ascii="Georgia" w:hAnsi="Georgia" w:cs="Arial"/>
        </w:rPr>
        <w:t xml:space="preserve"> lo asignado a cada una de las metas incluidas en la matriz del POA, el total de presupuesto asciende a ¢</w:t>
      </w:r>
      <w:r w:rsidR="007075DE">
        <w:rPr>
          <w:rFonts w:ascii="Georgia" w:hAnsi="Georgia" w:cs="Arial"/>
        </w:rPr>
        <w:t>22.098.991.781.</w:t>
      </w:r>
      <w:r w:rsidR="00965386">
        <w:rPr>
          <w:rFonts w:ascii="Georgia" w:hAnsi="Georgia" w:cs="Arial"/>
        </w:rPr>
        <w:t>64,</w:t>
      </w:r>
      <w:bookmarkStart w:id="0" w:name="_GoBack"/>
      <w:bookmarkEnd w:id="0"/>
      <w:r w:rsidR="005939AE" w:rsidRPr="00400CEA">
        <w:rPr>
          <w:rFonts w:ascii="Georgia" w:hAnsi="Georgia" w:cs="Arial"/>
        </w:rPr>
        <w:t xml:space="preserve"> la ejecución del </w:t>
      </w:r>
      <w:r w:rsidR="008F3471" w:rsidRPr="00400CEA">
        <w:rPr>
          <w:rFonts w:ascii="Georgia" w:hAnsi="Georgia" w:cs="Arial"/>
        </w:rPr>
        <w:t>presupuesto fue</w:t>
      </w:r>
      <w:r w:rsidR="005939AE" w:rsidRPr="00400CEA">
        <w:rPr>
          <w:rFonts w:ascii="Georgia" w:hAnsi="Georgia" w:cs="Arial"/>
        </w:rPr>
        <w:t xml:space="preserve"> de ¢</w:t>
      </w:r>
      <w:r w:rsidR="007075DE">
        <w:rPr>
          <w:rFonts w:ascii="Georgia" w:hAnsi="Georgia" w:cs="Arial"/>
        </w:rPr>
        <w:t>16.858.891.486.</w:t>
      </w:r>
      <w:proofErr w:type="gramStart"/>
      <w:r w:rsidR="007075DE">
        <w:rPr>
          <w:rFonts w:ascii="Georgia" w:hAnsi="Georgia" w:cs="Arial"/>
        </w:rPr>
        <w:t xml:space="preserve">63 </w:t>
      </w:r>
      <w:r w:rsidR="005939AE" w:rsidRPr="00400CEA">
        <w:rPr>
          <w:rFonts w:ascii="Georgia" w:hAnsi="Georgia" w:cs="Arial"/>
        </w:rPr>
        <w:t xml:space="preserve"> equivalente</w:t>
      </w:r>
      <w:proofErr w:type="gramEnd"/>
      <w:r w:rsidR="005939AE" w:rsidRPr="00400CEA">
        <w:rPr>
          <w:rFonts w:ascii="Georgia" w:hAnsi="Georgia" w:cs="Arial"/>
        </w:rPr>
        <w:t xml:space="preserve"> al </w:t>
      </w:r>
      <w:r w:rsidR="007075DE">
        <w:rPr>
          <w:rFonts w:ascii="Georgia" w:hAnsi="Georgia" w:cs="Arial"/>
        </w:rPr>
        <w:t>76.3</w:t>
      </w:r>
      <w:r w:rsidR="005939AE" w:rsidRPr="00400CEA">
        <w:rPr>
          <w:rFonts w:ascii="Georgia" w:hAnsi="Georgia" w:cs="Arial"/>
        </w:rPr>
        <w:t>% del monto programado para el período.  Lo anterior se debe a que muchos de los proyectos se cancelan al  final por lo que su pago quedará reflejado en los compromisos de pago del año.</w:t>
      </w:r>
    </w:p>
    <w:p w:rsidR="000A57B3" w:rsidRDefault="000A57B3" w:rsidP="005939AE">
      <w:pPr>
        <w:spacing w:after="0" w:line="360" w:lineRule="auto"/>
        <w:jc w:val="both"/>
        <w:rPr>
          <w:rFonts w:ascii="Georgia" w:hAnsi="Georgia" w:cs="Arial"/>
          <w:b/>
        </w:rPr>
      </w:pPr>
    </w:p>
    <w:p w:rsidR="000A57B3" w:rsidRDefault="000A57B3" w:rsidP="005939AE">
      <w:pPr>
        <w:spacing w:after="0" w:line="360" w:lineRule="auto"/>
        <w:jc w:val="both"/>
        <w:rPr>
          <w:rFonts w:ascii="Georgia" w:hAnsi="Georgia" w:cs="Arial"/>
          <w:b/>
        </w:rPr>
      </w:pPr>
    </w:p>
    <w:p w:rsidR="000A57B3" w:rsidRDefault="000A57B3" w:rsidP="005939AE">
      <w:pPr>
        <w:spacing w:after="0" w:line="360" w:lineRule="auto"/>
        <w:jc w:val="both"/>
        <w:rPr>
          <w:rFonts w:ascii="Georgia" w:hAnsi="Georgia" w:cs="Arial"/>
          <w:b/>
        </w:rPr>
      </w:pPr>
    </w:p>
    <w:p w:rsidR="000A57B3" w:rsidRDefault="000A57B3" w:rsidP="005939AE">
      <w:pPr>
        <w:spacing w:after="0" w:line="360" w:lineRule="auto"/>
        <w:jc w:val="both"/>
        <w:rPr>
          <w:rFonts w:ascii="Georgia" w:hAnsi="Georgia" w:cs="Arial"/>
          <w:b/>
        </w:rPr>
      </w:pPr>
    </w:p>
    <w:p w:rsidR="000A57B3" w:rsidRDefault="000A57B3" w:rsidP="005939AE">
      <w:pPr>
        <w:spacing w:after="0" w:line="360" w:lineRule="auto"/>
        <w:jc w:val="both"/>
        <w:rPr>
          <w:rFonts w:ascii="Georgia" w:hAnsi="Georgia" w:cs="Arial"/>
          <w:b/>
        </w:rPr>
      </w:pPr>
    </w:p>
    <w:p w:rsidR="00672C53" w:rsidRDefault="00672C53" w:rsidP="005939AE">
      <w:pPr>
        <w:spacing w:after="0" w:line="360" w:lineRule="auto"/>
        <w:jc w:val="both"/>
        <w:rPr>
          <w:rFonts w:ascii="Georgia" w:hAnsi="Georgia" w:cs="Arial"/>
          <w:b/>
        </w:rPr>
      </w:pPr>
    </w:p>
    <w:p w:rsidR="000A57B3" w:rsidRDefault="000A57B3" w:rsidP="005939AE">
      <w:pPr>
        <w:spacing w:after="0" w:line="360" w:lineRule="auto"/>
        <w:jc w:val="both"/>
        <w:rPr>
          <w:rFonts w:ascii="Georgia" w:hAnsi="Georgia" w:cs="Arial"/>
          <w:b/>
        </w:rPr>
      </w:pPr>
    </w:p>
    <w:p w:rsidR="005939AE" w:rsidRPr="00400CEA" w:rsidRDefault="005939AE" w:rsidP="005939AE">
      <w:pPr>
        <w:spacing w:after="0" w:line="360" w:lineRule="auto"/>
        <w:jc w:val="both"/>
        <w:rPr>
          <w:rFonts w:ascii="Georgia" w:hAnsi="Georgia" w:cs="Arial"/>
          <w:b/>
        </w:rPr>
      </w:pPr>
      <w:r w:rsidRPr="00400CEA">
        <w:rPr>
          <w:rFonts w:ascii="Georgia" w:hAnsi="Georgia" w:cs="Arial"/>
          <w:b/>
        </w:rPr>
        <w:t xml:space="preserve">1.3. GRADO DE CUMPLIMIENTO DE METAS PROGRAMADAS CON LOS </w:t>
      </w:r>
    </w:p>
    <w:p w:rsidR="005939AE" w:rsidRPr="00400CEA" w:rsidRDefault="005939AE" w:rsidP="005939AE">
      <w:pPr>
        <w:spacing w:after="0"/>
        <w:jc w:val="both"/>
        <w:rPr>
          <w:rFonts w:ascii="Georgia" w:hAnsi="Georgia" w:cs="Arial"/>
          <w:b/>
        </w:rPr>
      </w:pPr>
      <w:r w:rsidRPr="00400CEA">
        <w:rPr>
          <w:rFonts w:ascii="Georgia" w:hAnsi="Georgia" w:cs="Arial"/>
          <w:b/>
        </w:rPr>
        <w:t xml:space="preserve"> RECURSOS DE LA LEY 8114.</w:t>
      </w:r>
    </w:p>
    <w:p w:rsidR="005939AE" w:rsidRPr="00400CEA" w:rsidRDefault="005939AE" w:rsidP="005939AE">
      <w:pPr>
        <w:spacing w:after="0" w:line="240" w:lineRule="auto"/>
        <w:jc w:val="both"/>
        <w:rPr>
          <w:rFonts w:ascii="Georgia" w:hAnsi="Georgia" w:cs="Arial"/>
          <w:b/>
        </w:rPr>
      </w:pPr>
    </w:p>
    <w:p w:rsidR="005939AE" w:rsidRPr="00773A66" w:rsidRDefault="005939AE" w:rsidP="005939AE">
      <w:pPr>
        <w:spacing w:line="360" w:lineRule="auto"/>
        <w:jc w:val="both"/>
        <w:rPr>
          <w:rFonts w:ascii="Georgia" w:hAnsi="Georgia" w:cs="Arial"/>
        </w:rPr>
      </w:pPr>
      <w:r w:rsidRPr="007075DE">
        <w:rPr>
          <w:rFonts w:ascii="Georgia" w:hAnsi="Georgia" w:cs="Arial"/>
        </w:rPr>
        <w:t xml:space="preserve">Los recursos asignados para este </w:t>
      </w:r>
      <w:r w:rsidR="00AB03AD" w:rsidRPr="007075DE">
        <w:rPr>
          <w:rFonts w:ascii="Georgia" w:hAnsi="Georgia" w:cs="Arial"/>
        </w:rPr>
        <w:t xml:space="preserve">año </w:t>
      </w:r>
      <w:r w:rsidR="0040120E" w:rsidRPr="007075DE">
        <w:rPr>
          <w:rFonts w:ascii="Georgia" w:hAnsi="Georgia" w:cs="Arial"/>
        </w:rPr>
        <w:t>no se pud</w:t>
      </w:r>
      <w:r w:rsidR="007075DE">
        <w:rPr>
          <w:rFonts w:ascii="Georgia" w:hAnsi="Georgia" w:cs="Arial"/>
        </w:rPr>
        <w:t xml:space="preserve">ieron </w:t>
      </w:r>
      <w:r w:rsidR="0040120E" w:rsidRPr="007075DE">
        <w:rPr>
          <w:rFonts w:ascii="Georgia" w:hAnsi="Georgia" w:cs="Arial"/>
        </w:rPr>
        <w:t xml:space="preserve">ejecutar en su totalidad debido a que el ingreso de los recursos por parte del Ministerio de Hacienda fue de manera paulatina y lenta provocando atrasos en la ejecución del proyecto, por lo que la disponibilidad para hacer todos los kilómetros en proyectos importantes no se logró a cabalidad. El cumplimiento fue de </w:t>
      </w:r>
      <w:r w:rsidR="00397601" w:rsidRPr="007075DE">
        <w:rPr>
          <w:rFonts w:ascii="Georgia" w:hAnsi="Georgia" w:cs="Arial"/>
        </w:rPr>
        <w:t>un 85</w:t>
      </w:r>
      <w:r w:rsidR="0040120E" w:rsidRPr="007075DE">
        <w:rPr>
          <w:rFonts w:ascii="Georgia" w:hAnsi="Georgia" w:cs="Arial"/>
        </w:rPr>
        <w:t xml:space="preserve">% </w:t>
      </w:r>
      <w:r w:rsidR="00741BC6" w:rsidRPr="007075DE">
        <w:rPr>
          <w:rFonts w:ascii="Georgia" w:hAnsi="Georgia" w:cs="Arial"/>
        </w:rPr>
        <w:t>al finalizar el periodo</w:t>
      </w:r>
      <w:r w:rsidRPr="007075DE">
        <w:rPr>
          <w:rFonts w:ascii="Georgia" w:hAnsi="Georgia" w:cs="Arial"/>
        </w:rPr>
        <w:t>.</w:t>
      </w:r>
      <w:r>
        <w:rPr>
          <w:rFonts w:ascii="Georgia" w:hAnsi="Georgia" w:cs="Arial"/>
        </w:rPr>
        <w:t xml:space="preserve">  </w:t>
      </w:r>
    </w:p>
    <w:p w:rsidR="005939AE" w:rsidRPr="00400CEA" w:rsidRDefault="005939AE" w:rsidP="005939AE">
      <w:pPr>
        <w:spacing w:after="0" w:line="360" w:lineRule="auto"/>
        <w:jc w:val="both"/>
        <w:rPr>
          <w:rFonts w:ascii="Georgia" w:hAnsi="Georgia" w:cs="Arial"/>
        </w:rPr>
      </w:pPr>
    </w:p>
    <w:p w:rsidR="005939AE" w:rsidRPr="00400CEA" w:rsidRDefault="005939AE" w:rsidP="005939AE">
      <w:pPr>
        <w:spacing w:after="0" w:line="360" w:lineRule="auto"/>
        <w:jc w:val="both"/>
        <w:rPr>
          <w:rFonts w:ascii="Georgia" w:hAnsi="Georgia" w:cs="Arial"/>
          <w:b/>
        </w:rPr>
      </w:pPr>
      <w:r w:rsidRPr="00400CEA">
        <w:rPr>
          <w:rFonts w:ascii="Georgia" w:hAnsi="Georgia" w:cs="Arial"/>
          <w:b/>
        </w:rPr>
        <w:t>1.4. EJECUCION DEL GASTO PRESUPUESTARIO CON RECURSOS DE LA LEY 8114.</w:t>
      </w:r>
    </w:p>
    <w:p w:rsidR="005939AE" w:rsidRPr="00400CEA" w:rsidRDefault="005939AE" w:rsidP="005939AE">
      <w:pPr>
        <w:spacing w:after="0" w:line="360" w:lineRule="auto"/>
        <w:jc w:val="both"/>
        <w:rPr>
          <w:rFonts w:ascii="Georgia" w:hAnsi="Georgia" w:cs="Arial"/>
          <w:b/>
        </w:rPr>
      </w:pPr>
    </w:p>
    <w:p w:rsidR="005939AE" w:rsidRPr="00400CEA" w:rsidRDefault="005939AE" w:rsidP="005939AE">
      <w:pPr>
        <w:spacing w:after="0" w:line="360" w:lineRule="auto"/>
        <w:jc w:val="both"/>
        <w:rPr>
          <w:rFonts w:ascii="Georgia" w:hAnsi="Georgia" w:cs="Arial"/>
        </w:rPr>
      </w:pPr>
      <w:r w:rsidRPr="00741BC6">
        <w:rPr>
          <w:rFonts w:ascii="Georgia" w:hAnsi="Georgia" w:cs="Arial"/>
        </w:rPr>
        <w:t xml:space="preserve">Tal y como se indicó anteriormente </w:t>
      </w:r>
      <w:r w:rsidR="0040120E">
        <w:rPr>
          <w:rFonts w:ascii="Georgia" w:hAnsi="Georgia" w:cs="Arial"/>
        </w:rPr>
        <w:t xml:space="preserve">el proyecto </w:t>
      </w:r>
      <w:r w:rsidRPr="00741BC6">
        <w:rPr>
          <w:rFonts w:ascii="Georgia" w:hAnsi="Georgia" w:cs="Arial"/>
        </w:rPr>
        <w:t xml:space="preserve">financiado con recursos de la Ley </w:t>
      </w:r>
      <w:r w:rsidR="00C47007" w:rsidRPr="00741BC6">
        <w:rPr>
          <w:rFonts w:ascii="Georgia" w:hAnsi="Georgia" w:cs="Arial"/>
        </w:rPr>
        <w:t xml:space="preserve">8114, </w:t>
      </w:r>
      <w:r w:rsidR="00C47007">
        <w:rPr>
          <w:rFonts w:ascii="Georgia" w:hAnsi="Georgia" w:cs="Arial"/>
        </w:rPr>
        <w:t>no</w:t>
      </w:r>
      <w:r w:rsidR="0040120E">
        <w:rPr>
          <w:rFonts w:ascii="Georgia" w:hAnsi="Georgia" w:cs="Arial"/>
        </w:rPr>
        <w:t xml:space="preserve"> </w:t>
      </w:r>
      <w:r w:rsidR="00C47007">
        <w:rPr>
          <w:rFonts w:ascii="Georgia" w:hAnsi="Georgia" w:cs="Arial"/>
        </w:rPr>
        <w:t xml:space="preserve">se </w:t>
      </w:r>
      <w:r w:rsidR="00C47007" w:rsidRPr="00741BC6">
        <w:rPr>
          <w:rFonts w:ascii="Georgia" w:hAnsi="Georgia" w:cs="Arial"/>
        </w:rPr>
        <w:t>ejecutó</w:t>
      </w:r>
      <w:r w:rsidR="00741BC6" w:rsidRPr="00741BC6">
        <w:rPr>
          <w:rFonts w:ascii="Georgia" w:hAnsi="Georgia" w:cs="Arial"/>
        </w:rPr>
        <w:t xml:space="preserve"> en su </w:t>
      </w:r>
      <w:r w:rsidR="00C47007" w:rsidRPr="00741BC6">
        <w:rPr>
          <w:rFonts w:ascii="Georgia" w:hAnsi="Georgia" w:cs="Arial"/>
        </w:rPr>
        <w:t xml:space="preserve">totalidad, </w:t>
      </w:r>
      <w:r w:rsidR="00C47007">
        <w:rPr>
          <w:rFonts w:ascii="Georgia" w:hAnsi="Georgia" w:cs="Arial"/>
        </w:rPr>
        <w:t>por</w:t>
      </w:r>
      <w:r w:rsidR="0040120E">
        <w:rPr>
          <w:rFonts w:ascii="Georgia" w:hAnsi="Georgia" w:cs="Arial"/>
        </w:rPr>
        <w:t xml:space="preserve"> lo que a nivel de </w:t>
      </w:r>
      <w:r w:rsidR="00AB03AD" w:rsidRPr="00741BC6">
        <w:rPr>
          <w:rFonts w:ascii="Georgia" w:hAnsi="Georgia" w:cs="Arial"/>
        </w:rPr>
        <w:t xml:space="preserve">presupuesto </w:t>
      </w:r>
      <w:r w:rsidR="0040120E">
        <w:rPr>
          <w:rFonts w:ascii="Georgia" w:hAnsi="Georgia" w:cs="Arial"/>
        </w:rPr>
        <w:t xml:space="preserve">se ejecutó un </w:t>
      </w:r>
      <w:r w:rsidR="007075DE">
        <w:rPr>
          <w:rFonts w:ascii="Georgia" w:hAnsi="Georgia" w:cs="Arial"/>
        </w:rPr>
        <w:t>62</w:t>
      </w:r>
      <w:r w:rsidR="0040120E">
        <w:rPr>
          <w:rFonts w:ascii="Georgia" w:hAnsi="Georgia" w:cs="Arial"/>
        </w:rPr>
        <w:t>%, por lo que los recursos pendientes quedarán comprometidos.</w:t>
      </w:r>
    </w:p>
    <w:p w:rsidR="005939AE" w:rsidRPr="00400CEA" w:rsidRDefault="005939AE" w:rsidP="005939AE">
      <w:pPr>
        <w:spacing w:after="0" w:line="360" w:lineRule="auto"/>
        <w:jc w:val="both"/>
        <w:rPr>
          <w:rFonts w:ascii="Georgia" w:hAnsi="Georgia" w:cs="Arial"/>
        </w:rPr>
      </w:pPr>
    </w:p>
    <w:p w:rsidR="005939AE" w:rsidRPr="00400CEA" w:rsidRDefault="005939AE" w:rsidP="005939AE">
      <w:pPr>
        <w:spacing w:after="0" w:line="360" w:lineRule="auto"/>
        <w:jc w:val="both"/>
        <w:rPr>
          <w:rFonts w:ascii="Georgia" w:hAnsi="Georgia" w:cs="Arial"/>
        </w:rPr>
      </w:pPr>
    </w:p>
    <w:p w:rsidR="005939AE" w:rsidRPr="00400CEA" w:rsidRDefault="005939AE" w:rsidP="005939AE">
      <w:pPr>
        <w:spacing w:after="0" w:line="360" w:lineRule="auto"/>
        <w:jc w:val="both"/>
        <w:rPr>
          <w:rFonts w:ascii="Georgia" w:hAnsi="Georgia" w:cs="Arial"/>
        </w:rPr>
      </w:pPr>
    </w:p>
    <w:p w:rsidR="005939AE" w:rsidRPr="00400CEA" w:rsidRDefault="005939AE" w:rsidP="005939AE">
      <w:pPr>
        <w:spacing w:after="0" w:line="360" w:lineRule="auto"/>
        <w:jc w:val="center"/>
        <w:rPr>
          <w:rFonts w:ascii="Georgia" w:hAnsi="Georgia" w:cs="Arial"/>
        </w:rPr>
      </w:pPr>
      <w:r w:rsidRPr="00400CEA">
        <w:rPr>
          <w:rFonts w:ascii="Georgia" w:hAnsi="Georgia" w:cs="Arial"/>
        </w:rPr>
        <w:t xml:space="preserve">Elaborado </w:t>
      </w:r>
      <w:r w:rsidR="00C47007" w:rsidRPr="00400CEA">
        <w:rPr>
          <w:rFonts w:ascii="Georgia" w:hAnsi="Georgia" w:cs="Arial"/>
        </w:rPr>
        <w:t>por: _</w:t>
      </w:r>
      <w:r w:rsidRPr="00400CEA">
        <w:rPr>
          <w:rFonts w:ascii="Georgia" w:hAnsi="Georgia" w:cs="Arial"/>
        </w:rPr>
        <w:t>____________________________________</w:t>
      </w:r>
    </w:p>
    <w:p w:rsidR="005939AE" w:rsidRPr="00400CEA" w:rsidRDefault="005939AE" w:rsidP="005939AE">
      <w:pPr>
        <w:spacing w:after="0" w:line="360" w:lineRule="auto"/>
        <w:jc w:val="center"/>
        <w:rPr>
          <w:rFonts w:ascii="Georgia" w:hAnsi="Georgia" w:cs="Arial"/>
        </w:rPr>
      </w:pPr>
      <w:r w:rsidRPr="00400CEA">
        <w:rPr>
          <w:rFonts w:ascii="Georgia" w:hAnsi="Georgia" w:cs="Arial"/>
        </w:rPr>
        <w:t>Licda. Jacqueline Fernández Castillo</w:t>
      </w:r>
    </w:p>
    <w:p w:rsidR="005939AE" w:rsidRPr="00400CEA" w:rsidRDefault="005939AE" w:rsidP="005939AE">
      <w:pPr>
        <w:spacing w:after="0" w:line="360" w:lineRule="auto"/>
        <w:jc w:val="center"/>
        <w:rPr>
          <w:rFonts w:ascii="Georgia" w:hAnsi="Georgia" w:cs="Arial"/>
        </w:rPr>
      </w:pPr>
      <w:r w:rsidRPr="00400CEA">
        <w:rPr>
          <w:rFonts w:ascii="Georgia" w:hAnsi="Georgia" w:cs="Arial"/>
        </w:rPr>
        <w:t>Planificadora Institucional</w:t>
      </w:r>
    </w:p>
    <w:p w:rsidR="005939AE" w:rsidRPr="00400CEA" w:rsidRDefault="005939AE" w:rsidP="005939AE">
      <w:pPr>
        <w:spacing w:line="360" w:lineRule="auto"/>
        <w:jc w:val="both"/>
        <w:rPr>
          <w:rFonts w:ascii="Georgia" w:hAnsi="Georgia" w:cs="Arial"/>
        </w:rPr>
      </w:pPr>
    </w:p>
    <w:p w:rsidR="005939AE" w:rsidRPr="00400CEA" w:rsidRDefault="005939AE" w:rsidP="005939AE">
      <w:pPr>
        <w:spacing w:after="0" w:line="360" w:lineRule="auto"/>
        <w:jc w:val="both"/>
        <w:rPr>
          <w:rFonts w:ascii="Georgia" w:hAnsi="Georgia" w:cs="Arial"/>
        </w:rPr>
      </w:pPr>
    </w:p>
    <w:p w:rsidR="005939AE" w:rsidRPr="00400CEA" w:rsidRDefault="005939AE" w:rsidP="005939AE">
      <w:pPr>
        <w:spacing w:line="360" w:lineRule="auto"/>
        <w:jc w:val="both"/>
        <w:rPr>
          <w:rFonts w:ascii="Georgia" w:hAnsi="Georgia" w:cs="Arial"/>
        </w:rPr>
      </w:pPr>
    </w:p>
    <w:p w:rsidR="00F025D0" w:rsidRPr="005939AE" w:rsidRDefault="00F025D0" w:rsidP="005939AE">
      <w:pPr>
        <w:rPr>
          <w:szCs w:val="24"/>
        </w:rPr>
      </w:pPr>
    </w:p>
    <w:sectPr w:rsidR="00F025D0" w:rsidRPr="005939AE" w:rsidSect="005939AE">
      <w:headerReference w:type="default" r:id="rId7"/>
      <w:footerReference w:type="default" r:id="rId8"/>
      <w:pgSz w:w="12240" w:h="20160" w:code="5"/>
      <w:pgMar w:top="1418" w:right="1701"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FF3" w:rsidRDefault="00515FF3" w:rsidP="006D2818">
      <w:pPr>
        <w:spacing w:after="0" w:line="240" w:lineRule="auto"/>
      </w:pPr>
      <w:r>
        <w:separator/>
      </w:r>
    </w:p>
  </w:endnote>
  <w:endnote w:type="continuationSeparator" w:id="0">
    <w:p w:rsidR="00515FF3" w:rsidRDefault="00515FF3" w:rsidP="006D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422073"/>
      <w:docPartObj>
        <w:docPartGallery w:val="Page Numbers (Bottom of Page)"/>
        <w:docPartUnique/>
      </w:docPartObj>
    </w:sdtPr>
    <w:sdtEndPr/>
    <w:sdtContent>
      <w:p w:rsidR="00981A4C" w:rsidRDefault="00981A4C">
        <w:pPr>
          <w:pStyle w:val="Piedepgina"/>
          <w:jc w:val="right"/>
        </w:pPr>
        <w:r>
          <w:fldChar w:fldCharType="begin"/>
        </w:r>
        <w:r>
          <w:instrText>PAGE   \* MERGEFORMAT</w:instrText>
        </w:r>
        <w:r>
          <w:fldChar w:fldCharType="separate"/>
        </w:r>
        <w:r w:rsidR="00662E23">
          <w:rPr>
            <w:noProof/>
          </w:rPr>
          <w:t>2</w:t>
        </w:r>
        <w:r>
          <w:fldChar w:fldCharType="end"/>
        </w:r>
      </w:p>
    </w:sdtContent>
  </w:sdt>
  <w:p w:rsidR="00D8494A" w:rsidRDefault="00D849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FF3" w:rsidRDefault="00515FF3" w:rsidP="006D2818">
      <w:pPr>
        <w:spacing w:after="0" w:line="240" w:lineRule="auto"/>
      </w:pPr>
      <w:r>
        <w:separator/>
      </w:r>
    </w:p>
  </w:footnote>
  <w:footnote w:type="continuationSeparator" w:id="0">
    <w:p w:rsidR="00515FF3" w:rsidRDefault="00515FF3" w:rsidP="006D2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FF3" w:rsidRDefault="001767AF">
    <w:pPr>
      <w:pStyle w:val="Encabezado"/>
      <w:jc w:val="right"/>
    </w:pPr>
    <w:r>
      <w:fldChar w:fldCharType="begin"/>
    </w:r>
    <w:r>
      <w:instrText xml:space="preserve"> PAGE   \* MERGEFORMAT </w:instrText>
    </w:r>
    <w:r>
      <w:fldChar w:fldCharType="separate"/>
    </w:r>
    <w:r w:rsidR="00662E23">
      <w:rPr>
        <w:noProof/>
      </w:rPr>
      <w:t>2</w:t>
    </w:r>
    <w:r>
      <w:rPr>
        <w:noProof/>
      </w:rPr>
      <w:fldChar w:fldCharType="end"/>
    </w:r>
  </w:p>
  <w:p w:rsidR="00515FF3" w:rsidRDefault="00515F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9239B"/>
    <w:multiLevelType w:val="multilevel"/>
    <w:tmpl w:val="32E4C60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55B2634C"/>
    <w:multiLevelType w:val="multilevel"/>
    <w:tmpl w:val="3E6E974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 w15:restartNumberingAfterBreak="0">
    <w:nsid w:val="692047A9"/>
    <w:multiLevelType w:val="hybridMultilevel"/>
    <w:tmpl w:val="E972685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E3F347E"/>
    <w:multiLevelType w:val="multilevel"/>
    <w:tmpl w:val="F19686BA"/>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7ECB7477"/>
    <w:multiLevelType w:val="hybridMultilevel"/>
    <w:tmpl w:val="9CD28B8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CA"/>
    <w:rsid w:val="00004B11"/>
    <w:rsid w:val="00005CF6"/>
    <w:rsid w:val="00007F5D"/>
    <w:rsid w:val="0001306C"/>
    <w:rsid w:val="000144C2"/>
    <w:rsid w:val="00022257"/>
    <w:rsid w:val="00022D63"/>
    <w:rsid w:val="000308A9"/>
    <w:rsid w:val="000325F4"/>
    <w:rsid w:val="00044351"/>
    <w:rsid w:val="000462C6"/>
    <w:rsid w:val="000516E8"/>
    <w:rsid w:val="000542AA"/>
    <w:rsid w:val="00056068"/>
    <w:rsid w:val="00060577"/>
    <w:rsid w:val="00060F74"/>
    <w:rsid w:val="000773A6"/>
    <w:rsid w:val="00077444"/>
    <w:rsid w:val="00083D10"/>
    <w:rsid w:val="0008497A"/>
    <w:rsid w:val="00092171"/>
    <w:rsid w:val="000A073F"/>
    <w:rsid w:val="000A3530"/>
    <w:rsid w:val="000A57B3"/>
    <w:rsid w:val="000D3D4F"/>
    <w:rsid w:val="000E0821"/>
    <w:rsid w:val="000E39AE"/>
    <w:rsid w:val="00100437"/>
    <w:rsid w:val="00102B73"/>
    <w:rsid w:val="00111DF0"/>
    <w:rsid w:val="001234D9"/>
    <w:rsid w:val="00126FD8"/>
    <w:rsid w:val="00130430"/>
    <w:rsid w:val="00156E68"/>
    <w:rsid w:val="00167464"/>
    <w:rsid w:val="001767AF"/>
    <w:rsid w:val="001836A4"/>
    <w:rsid w:val="00191E2B"/>
    <w:rsid w:val="0019688D"/>
    <w:rsid w:val="001B1D5A"/>
    <w:rsid w:val="001B2005"/>
    <w:rsid w:val="001B70E8"/>
    <w:rsid w:val="001C6DEB"/>
    <w:rsid w:val="001C7E29"/>
    <w:rsid w:val="001D222D"/>
    <w:rsid w:val="001D2C59"/>
    <w:rsid w:val="001D6287"/>
    <w:rsid w:val="001F0749"/>
    <w:rsid w:val="00222DE8"/>
    <w:rsid w:val="002273F4"/>
    <w:rsid w:val="00234095"/>
    <w:rsid w:val="00242E7E"/>
    <w:rsid w:val="002528EC"/>
    <w:rsid w:val="0026240C"/>
    <w:rsid w:val="00264C5F"/>
    <w:rsid w:val="0027157B"/>
    <w:rsid w:val="0027327E"/>
    <w:rsid w:val="00277160"/>
    <w:rsid w:val="00277823"/>
    <w:rsid w:val="002814BC"/>
    <w:rsid w:val="00284273"/>
    <w:rsid w:val="002D6839"/>
    <w:rsid w:val="002F1A09"/>
    <w:rsid w:val="002F3760"/>
    <w:rsid w:val="002F5B14"/>
    <w:rsid w:val="002F73B9"/>
    <w:rsid w:val="00300DC0"/>
    <w:rsid w:val="00307D22"/>
    <w:rsid w:val="00314850"/>
    <w:rsid w:val="00321BB3"/>
    <w:rsid w:val="00330C15"/>
    <w:rsid w:val="00332C1A"/>
    <w:rsid w:val="00333B2C"/>
    <w:rsid w:val="003364B4"/>
    <w:rsid w:val="00344CC8"/>
    <w:rsid w:val="00344DC6"/>
    <w:rsid w:val="0037170D"/>
    <w:rsid w:val="00376E0A"/>
    <w:rsid w:val="003903EC"/>
    <w:rsid w:val="003919A0"/>
    <w:rsid w:val="0039750F"/>
    <w:rsid w:val="00397601"/>
    <w:rsid w:val="003A28E2"/>
    <w:rsid w:val="003A2BC6"/>
    <w:rsid w:val="003A2F1E"/>
    <w:rsid w:val="003A3EA5"/>
    <w:rsid w:val="003A74CE"/>
    <w:rsid w:val="003C12E8"/>
    <w:rsid w:val="003C2F1E"/>
    <w:rsid w:val="003C3906"/>
    <w:rsid w:val="003C5DFC"/>
    <w:rsid w:val="003C7450"/>
    <w:rsid w:val="003E4E0B"/>
    <w:rsid w:val="003F60EA"/>
    <w:rsid w:val="0040120E"/>
    <w:rsid w:val="004053B0"/>
    <w:rsid w:val="0041108E"/>
    <w:rsid w:val="00412F3C"/>
    <w:rsid w:val="00415337"/>
    <w:rsid w:val="0043384A"/>
    <w:rsid w:val="00437EAA"/>
    <w:rsid w:val="00455DFD"/>
    <w:rsid w:val="004620A9"/>
    <w:rsid w:val="00463203"/>
    <w:rsid w:val="00471387"/>
    <w:rsid w:val="00476299"/>
    <w:rsid w:val="00496E45"/>
    <w:rsid w:val="004A1C69"/>
    <w:rsid w:val="004B7109"/>
    <w:rsid w:val="004B71A5"/>
    <w:rsid w:val="004C096A"/>
    <w:rsid w:val="004F6F16"/>
    <w:rsid w:val="0050122A"/>
    <w:rsid w:val="00515FF3"/>
    <w:rsid w:val="005179E1"/>
    <w:rsid w:val="00521697"/>
    <w:rsid w:val="00521C63"/>
    <w:rsid w:val="005351D6"/>
    <w:rsid w:val="00543D1C"/>
    <w:rsid w:val="00557128"/>
    <w:rsid w:val="005644B9"/>
    <w:rsid w:val="00576419"/>
    <w:rsid w:val="00577368"/>
    <w:rsid w:val="0058103F"/>
    <w:rsid w:val="00584021"/>
    <w:rsid w:val="005932EA"/>
    <w:rsid w:val="005939AE"/>
    <w:rsid w:val="005A39DF"/>
    <w:rsid w:val="005B7EB2"/>
    <w:rsid w:val="005E37F1"/>
    <w:rsid w:val="00624F51"/>
    <w:rsid w:val="006436B4"/>
    <w:rsid w:val="00654061"/>
    <w:rsid w:val="00657B4B"/>
    <w:rsid w:val="006614C5"/>
    <w:rsid w:val="00662E23"/>
    <w:rsid w:val="00666910"/>
    <w:rsid w:val="00671041"/>
    <w:rsid w:val="00672C53"/>
    <w:rsid w:val="00687ACB"/>
    <w:rsid w:val="00693698"/>
    <w:rsid w:val="0069479A"/>
    <w:rsid w:val="00694DAD"/>
    <w:rsid w:val="006964AD"/>
    <w:rsid w:val="006A7258"/>
    <w:rsid w:val="006B234B"/>
    <w:rsid w:val="006B7BE5"/>
    <w:rsid w:val="006C130D"/>
    <w:rsid w:val="006C6521"/>
    <w:rsid w:val="006D02D5"/>
    <w:rsid w:val="006D2818"/>
    <w:rsid w:val="006D5568"/>
    <w:rsid w:val="006E31CC"/>
    <w:rsid w:val="006E333D"/>
    <w:rsid w:val="006E369D"/>
    <w:rsid w:val="006E427B"/>
    <w:rsid w:val="006F76E6"/>
    <w:rsid w:val="007005FD"/>
    <w:rsid w:val="00703C57"/>
    <w:rsid w:val="007075DE"/>
    <w:rsid w:val="0072033F"/>
    <w:rsid w:val="00731339"/>
    <w:rsid w:val="00741BC6"/>
    <w:rsid w:val="00751FA1"/>
    <w:rsid w:val="007542FE"/>
    <w:rsid w:val="00780453"/>
    <w:rsid w:val="00780E79"/>
    <w:rsid w:val="00782156"/>
    <w:rsid w:val="00794963"/>
    <w:rsid w:val="007A2CF0"/>
    <w:rsid w:val="007B0028"/>
    <w:rsid w:val="007C3EA3"/>
    <w:rsid w:val="007C5C7C"/>
    <w:rsid w:val="007D26E5"/>
    <w:rsid w:val="007D432C"/>
    <w:rsid w:val="007D5285"/>
    <w:rsid w:val="007E2C1B"/>
    <w:rsid w:val="007E2E42"/>
    <w:rsid w:val="007F1725"/>
    <w:rsid w:val="008007DA"/>
    <w:rsid w:val="0082497E"/>
    <w:rsid w:val="00826FD5"/>
    <w:rsid w:val="008270B9"/>
    <w:rsid w:val="00836423"/>
    <w:rsid w:val="00845657"/>
    <w:rsid w:val="00856FEC"/>
    <w:rsid w:val="00863383"/>
    <w:rsid w:val="0086343C"/>
    <w:rsid w:val="008716F2"/>
    <w:rsid w:val="008949D1"/>
    <w:rsid w:val="008968FC"/>
    <w:rsid w:val="008A5656"/>
    <w:rsid w:val="008B345A"/>
    <w:rsid w:val="008C012D"/>
    <w:rsid w:val="008C07F1"/>
    <w:rsid w:val="008E1272"/>
    <w:rsid w:val="008F3471"/>
    <w:rsid w:val="00912A2C"/>
    <w:rsid w:val="00912F2C"/>
    <w:rsid w:val="0091431F"/>
    <w:rsid w:val="00914CE5"/>
    <w:rsid w:val="0093036E"/>
    <w:rsid w:val="00944933"/>
    <w:rsid w:val="009467B1"/>
    <w:rsid w:val="00956F43"/>
    <w:rsid w:val="0096082E"/>
    <w:rsid w:val="00963FDB"/>
    <w:rsid w:val="00965386"/>
    <w:rsid w:val="00981A4C"/>
    <w:rsid w:val="0098338E"/>
    <w:rsid w:val="009B4FCD"/>
    <w:rsid w:val="009C1FB4"/>
    <w:rsid w:val="009C7408"/>
    <w:rsid w:val="009D5DD4"/>
    <w:rsid w:val="009E64E3"/>
    <w:rsid w:val="009F5904"/>
    <w:rsid w:val="009F5A94"/>
    <w:rsid w:val="009F63D6"/>
    <w:rsid w:val="009F678A"/>
    <w:rsid w:val="00A04D80"/>
    <w:rsid w:val="00A15FED"/>
    <w:rsid w:val="00A24466"/>
    <w:rsid w:val="00A45E7C"/>
    <w:rsid w:val="00A573F9"/>
    <w:rsid w:val="00A84D23"/>
    <w:rsid w:val="00A85892"/>
    <w:rsid w:val="00A85CDB"/>
    <w:rsid w:val="00A9506C"/>
    <w:rsid w:val="00A951A7"/>
    <w:rsid w:val="00A96958"/>
    <w:rsid w:val="00AB03AD"/>
    <w:rsid w:val="00AB3DFF"/>
    <w:rsid w:val="00AF574D"/>
    <w:rsid w:val="00B116D3"/>
    <w:rsid w:val="00B116DE"/>
    <w:rsid w:val="00B160CF"/>
    <w:rsid w:val="00B31460"/>
    <w:rsid w:val="00B423F6"/>
    <w:rsid w:val="00B50BCE"/>
    <w:rsid w:val="00B60FDC"/>
    <w:rsid w:val="00B64378"/>
    <w:rsid w:val="00B71591"/>
    <w:rsid w:val="00B773EF"/>
    <w:rsid w:val="00B92E4B"/>
    <w:rsid w:val="00B9791C"/>
    <w:rsid w:val="00BA324F"/>
    <w:rsid w:val="00BA49DE"/>
    <w:rsid w:val="00BB36FE"/>
    <w:rsid w:val="00BC5380"/>
    <w:rsid w:val="00BE7EAB"/>
    <w:rsid w:val="00C04CEA"/>
    <w:rsid w:val="00C14595"/>
    <w:rsid w:val="00C3376E"/>
    <w:rsid w:val="00C451CA"/>
    <w:rsid w:val="00C47007"/>
    <w:rsid w:val="00C52254"/>
    <w:rsid w:val="00C52841"/>
    <w:rsid w:val="00C70DB8"/>
    <w:rsid w:val="00C745FC"/>
    <w:rsid w:val="00C76B3D"/>
    <w:rsid w:val="00C82BFE"/>
    <w:rsid w:val="00C82DB8"/>
    <w:rsid w:val="00C86C35"/>
    <w:rsid w:val="00C93C47"/>
    <w:rsid w:val="00CA2467"/>
    <w:rsid w:val="00CB2F64"/>
    <w:rsid w:val="00CB5C06"/>
    <w:rsid w:val="00CC1A9E"/>
    <w:rsid w:val="00CD1902"/>
    <w:rsid w:val="00CD244A"/>
    <w:rsid w:val="00CD514B"/>
    <w:rsid w:val="00CE6786"/>
    <w:rsid w:val="00CF36EF"/>
    <w:rsid w:val="00CF3CB3"/>
    <w:rsid w:val="00D03FF2"/>
    <w:rsid w:val="00D11BEA"/>
    <w:rsid w:val="00D13ACF"/>
    <w:rsid w:val="00D14C49"/>
    <w:rsid w:val="00D22978"/>
    <w:rsid w:val="00D23AEB"/>
    <w:rsid w:val="00D45ECB"/>
    <w:rsid w:val="00D550A7"/>
    <w:rsid w:val="00D6018A"/>
    <w:rsid w:val="00D735D3"/>
    <w:rsid w:val="00D74584"/>
    <w:rsid w:val="00D76B02"/>
    <w:rsid w:val="00D83392"/>
    <w:rsid w:val="00D8494A"/>
    <w:rsid w:val="00DA4789"/>
    <w:rsid w:val="00DB1006"/>
    <w:rsid w:val="00DC39CF"/>
    <w:rsid w:val="00DC6914"/>
    <w:rsid w:val="00DD1799"/>
    <w:rsid w:val="00DD3CC1"/>
    <w:rsid w:val="00DE0ACF"/>
    <w:rsid w:val="00DE1864"/>
    <w:rsid w:val="00E01404"/>
    <w:rsid w:val="00E31147"/>
    <w:rsid w:val="00E4258B"/>
    <w:rsid w:val="00E4490A"/>
    <w:rsid w:val="00E44E1D"/>
    <w:rsid w:val="00E51AE6"/>
    <w:rsid w:val="00E73F9C"/>
    <w:rsid w:val="00E80F00"/>
    <w:rsid w:val="00EA4DB0"/>
    <w:rsid w:val="00EA6DFE"/>
    <w:rsid w:val="00EB29E7"/>
    <w:rsid w:val="00EB4AD4"/>
    <w:rsid w:val="00EC7B02"/>
    <w:rsid w:val="00ED3829"/>
    <w:rsid w:val="00EE004D"/>
    <w:rsid w:val="00EE2EE5"/>
    <w:rsid w:val="00EF5EEB"/>
    <w:rsid w:val="00F025D0"/>
    <w:rsid w:val="00F15DD0"/>
    <w:rsid w:val="00F21538"/>
    <w:rsid w:val="00F44210"/>
    <w:rsid w:val="00F45C04"/>
    <w:rsid w:val="00F5700B"/>
    <w:rsid w:val="00F609C5"/>
    <w:rsid w:val="00F6694E"/>
    <w:rsid w:val="00F72207"/>
    <w:rsid w:val="00F72575"/>
    <w:rsid w:val="00F810F1"/>
    <w:rsid w:val="00F92E86"/>
    <w:rsid w:val="00F95E56"/>
    <w:rsid w:val="00FA7EAB"/>
    <w:rsid w:val="00FC0828"/>
    <w:rsid w:val="00FC54C8"/>
    <w:rsid w:val="00FE3088"/>
    <w:rsid w:val="00FE3F8D"/>
    <w:rsid w:val="00FE5E2E"/>
    <w:rsid w:val="00FF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8774E"/>
  <w15:docId w15:val="{59AC1819-B2AB-4A67-B201-BEBDE429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FD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333B2C"/>
    <w:pPr>
      <w:ind w:left="720"/>
      <w:contextualSpacing/>
    </w:pPr>
  </w:style>
  <w:style w:type="paragraph" w:styleId="Sangradetextonormal">
    <w:name w:val="Body Text Indent"/>
    <w:basedOn w:val="Normal"/>
    <w:link w:val="SangradetextonormalCar"/>
    <w:uiPriority w:val="99"/>
    <w:semiHidden/>
    <w:rsid w:val="004053B0"/>
    <w:pPr>
      <w:spacing w:after="0" w:line="360" w:lineRule="auto"/>
      <w:ind w:left="708"/>
      <w:jc w:val="both"/>
    </w:pPr>
    <w:rPr>
      <w:rFonts w:ascii="Times New Roman" w:eastAsia="Times New Roman" w:hAnsi="Times New Roman"/>
      <w:sz w:val="24"/>
      <w:szCs w:val="24"/>
      <w:lang w:eastAsia="es-ES"/>
    </w:rPr>
  </w:style>
  <w:style w:type="character" w:customStyle="1" w:styleId="SangradetextonormalCar">
    <w:name w:val="Sangría de texto normal Car"/>
    <w:basedOn w:val="Fuentedeprrafopredeter"/>
    <w:link w:val="Sangradetextonormal"/>
    <w:uiPriority w:val="99"/>
    <w:semiHidden/>
    <w:locked/>
    <w:rsid w:val="004053B0"/>
    <w:rPr>
      <w:rFonts w:ascii="Times New Roman" w:hAnsi="Times New Roman" w:cs="Times New Roman"/>
      <w:sz w:val="24"/>
      <w:szCs w:val="24"/>
      <w:lang w:eastAsia="es-ES"/>
    </w:rPr>
  </w:style>
  <w:style w:type="paragraph" w:styleId="Encabezado">
    <w:name w:val="header"/>
    <w:basedOn w:val="Normal"/>
    <w:link w:val="EncabezadoCar"/>
    <w:uiPriority w:val="99"/>
    <w:rsid w:val="006D28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6D2818"/>
    <w:rPr>
      <w:rFonts w:cs="Times New Roman"/>
    </w:rPr>
  </w:style>
  <w:style w:type="paragraph" w:styleId="Piedepgina">
    <w:name w:val="footer"/>
    <w:basedOn w:val="Normal"/>
    <w:link w:val="PiedepginaCar"/>
    <w:uiPriority w:val="99"/>
    <w:rsid w:val="006D28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D2818"/>
    <w:rPr>
      <w:rFonts w:cs="Times New Roman"/>
    </w:rPr>
  </w:style>
  <w:style w:type="paragraph" w:styleId="Textodeglobo">
    <w:name w:val="Balloon Text"/>
    <w:basedOn w:val="Normal"/>
    <w:link w:val="TextodegloboCar"/>
    <w:uiPriority w:val="99"/>
    <w:semiHidden/>
    <w:rsid w:val="005644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644B9"/>
    <w:rPr>
      <w:rFonts w:ascii="Tahoma" w:hAnsi="Tahoma" w:cs="Tahoma"/>
      <w:sz w:val="16"/>
      <w:szCs w:val="16"/>
    </w:rPr>
  </w:style>
  <w:style w:type="paragraph" w:styleId="NormalWeb">
    <w:name w:val="Normal (Web)"/>
    <w:basedOn w:val="Normal"/>
    <w:uiPriority w:val="99"/>
    <w:unhideWhenUsed/>
    <w:rsid w:val="009467B1"/>
    <w:pPr>
      <w:spacing w:before="100" w:beforeAutospacing="1" w:after="100" w:afterAutospacing="1" w:line="240" w:lineRule="auto"/>
    </w:pPr>
    <w:rPr>
      <w:rFonts w:ascii="Times New Roman" w:eastAsiaTheme="minorHAnsi" w:hAnsi="Times New Roman"/>
      <w:sz w:val="24"/>
      <w:szCs w:val="24"/>
      <w:lang w:val="es-CR" w:eastAsia="es-CR"/>
    </w:rPr>
  </w:style>
  <w:style w:type="table" w:styleId="Tablaconcuadrcula">
    <w:name w:val="Table Grid"/>
    <w:basedOn w:val="Tablanormal"/>
    <w:uiPriority w:val="59"/>
    <w:locked/>
    <w:rsid w:val="003C5DFC"/>
    <w:rPr>
      <w:rFonts w:asciiTheme="minorHAnsi" w:eastAsiaTheme="minorHAnsi" w:hAnsiTheme="minorHAnsi" w:cstheme="minorBidi"/>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9142">
      <w:bodyDiv w:val="1"/>
      <w:marLeft w:val="0"/>
      <w:marRight w:val="0"/>
      <w:marTop w:val="0"/>
      <w:marBottom w:val="0"/>
      <w:divBdr>
        <w:top w:val="none" w:sz="0" w:space="0" w:color="auto"/>
        <w:left w:val="none" w:sz="0" w:space="0" w:color="auto"/>
        <w:bottom w:val="none" w:sz="0" w:space="0" w:color="auto"/>
        <w:right w:val="none" w:sz="0" w:space="0" w:color="auto"/>
      </w:divBdr>
    </w:div>
    <w:div w:id="264769721">
      <w:bodyDiv w:val="1"/>
      <w:marLeft w:val="0"/>
      <w:marRight w:val="0"/>
      <w:marTop w:val="0"/>
      <w:marBottom w:val="0"/>
      <w:divBdr>
        <w:top w:val="none" w:sz="0" w:space="0" w:color="auto"/>
        <w:left w:val="none" w:sz="0" w:space="0" w:color="auto"/>
        <w:bottom w:val="none" w:sz="0" w:space="0" w:color="auto"/>
        <w:right w:val="none" w:sz="0" w:space="0" w:color="auto"/>
      </w:divBdr>
    </w:div>
    <w:div w:id="645473997">
      <w:bodyDiv w:val="1"/>
      <w:marLeft w:val="0"/>
      <w:marRight w:val="0"/>
      <w:marTop w:val="0"/>
      <w:marBottom w:val="0"/>
      <w:divBdr>
        <w:top w:val="none" w:sz="0" w:space="0" w:color="auto"/>
        <w:left w:val="none" w:sz="0" w:space="0" w:color="auto"/>
        <w:bottom w:val="none" w:sz="0" w:space="0" w:color="auto"/>
        <w:right w:val="none" w:sz="0" w:space="0" w:color="auto"/>
      </w:divBdr>
    </w:div>
    <w:div w:id="664088426">
      <w:marLeft w:val="0"/>
      <w:marRight w:val="0"/>
      <w:marTop w:val="0"/>
      <w:marBottom w:val="0"/>
      <w:divBdr>
        <w:top w:val="none" w:sz="0" w:space="0" w:color="auto"/>
        <w:left w:val="none" w:sz="0" w:space="0" w:color="auto"/>
        <w:bottom w:val="none" w:sz="0" w:space="0" w:color="auto"/>
        <w:right w:val="none" w:sz="0" w:space="0" w:color="auto"/>
      </w:divBdr>
    </w:div>
    <w:div w:id="664088427">
      <w:marLeft w:val="0"/>
      <w:marRight w:val="0"/>
      <w:marTop w:val="0"/>
      <w:marBottom w:val="0"/>
      <w:divBdr>
        <w:top w:val="none" w:sz="0" w:space="0" w:color="auto"/>
        <w:left w:val="none" w:sz="0" w:space="0" w:color="auto"/>
        <w:bottom w:val="none" w:sz="0" w:space="0" w:color="auto"/>
        <w:right w:val="none" w:sz="0" w:space="0" w:color="auto"/>
      </w:divBdr>
    </w:div>
    <w:div w:id="664088428">
      <w:marLeft w:val="0"/>
      <w:marRight w:val="0"/>
      <w:marTop w:val="0"/>
      <w:marBottom w:val="0"/>
      <w:divBdr>
        <w:top w:val="none" w:sz="0" w:space="0" w:color="auto"/>
        <w:left w:val="none" w:sz="0" w:space="0" w:color="auto"/>
        <w:bottom w:val="none" w:sz="0" w:space="0" w:color="auto"/>
        <w:right w:val="none" w:sz="0" w:space="0" w:color="auto"/>
      </w:divBdr>
    </w:div>
    <w:div w:id="664088429">
      <w:marLeft w:val="0"/>
      <w:marRight w:val="0"/>
      <w:marTop w:val="0"/>
      <w:marBottom w:val="0"/>
      <w:divBdr>
        <w:top w:val="none" w:sz="0" w:space="0" w:color="auto"/>
        <w:left w:val="none" w:sz="0" w:space="0" w:color="auto"/>
        <w:bottom w:val="none" w:sz="0" w:space="0" w:color="auto"/>
        <w:right w:val="none" w:sz="0" w:space="0" w:color="auto"/>
      </w:divBdr>
    </w:div>
    <w:div w:id="664088430">
      <w:marLeft w:val="0"/>
      <w:marRight w:val="0"/>
      <w:marTop w:val="0"/>
      <w:marBottom w:val="0"/>
      <w:divBdr>
        <w:top w:val="none" w:sz="0" w:space="0" w:color="auto"/>
        <w:left w:val="none" w:sz="0" w:space="0" w:color="auto"/>
        <w:bottom w:val="none" w:sz="0" w:space="0" w:color="auto"/>
        <w:right w:val="none" w:sz="0" w:space="0" w:color="auto"/>
      </w:divBdr>
    </w:div>
    <w:div w:id="664088431">
      <w:marLeft w:val="0"/>
      <w:marRight w:val="0"/>
      <w:marTop w:val="0"/>
      <w:marBottom w:val="0"/>
      <w:divBdr>
        <w:top w:val="none" w:sz="0" w:space="0" w:color="auto"/>
        <w:left w:val="none" w:sz="0" w:space="0" w:color="auto"/>
        <w:bottom w:val="none" w:sz="0" w:space="0" w:color="auto"/>
        <w:right w:val="none" w:sz="0" w:space="0" w:color="auto"/>
      </w:divBdr>
    </w:div>
    <w:div w:id="664088432">
      <w:marLeft w:val="0"/>
      <w:marRight w:val="0"/>
      <w:marTop w:val="0"/>
      <w:marBottom w:val="0"/>
      <w:divBdr>
        <w:top w:val="none" w:sz="0" w:space="0" w:color="auto"/>
        <w:left w:val="none" w:sz="0" w:space="0" w:color="auto"/>
        <w:bottom w:val="none" w:sz="0" w:space="0" w:color="auto"/>
        <w:right w:val="none" w:sz="0" w:space="0" w:color="auto"/>
      </w:divBdr>
    </w:div>
    <w:div w:id="664088433">
      <w:marLeft w:val="0"/>
      <w:marRight w:val="0"/>
      <w:marTop w:val="0"/>
      <w:marBottom w:val="0"/>
      <w:divBdr>
        <w:top w:val="none" w:sz="0" w:space="0" w:color="auto"/>
        <w:left w:val="none" w:sz="0" w:space="0" w:color="auto"/>
        <w:bottom w:val="none" w:sz="0" w:space="0" w:color="auto"/>
        <w:right w:val="none" w:sz="0" w:space="0" w:color="auto"/>
      </w:divBdr>
    </w:div>
    <w:div w:id="664088434">
      <w:marLeft w:val="0"/>
      <w:marRight w:val="0"/>
      <w:marTop w:val="0"/>
      <w:marBottom w:val="0"/>
      <w:divBdr>
        <w:top w:val="none" w:sz="0" w:space="0" w:color="auto"/>
        <w:left w:val="none" w:sz="0" w:space="0" w:color="auto"/>
        <w:bottom w:val="none" w:sz="0" w:space="0" w:color="auto"/>
        <w:right w:val="none" w:sz="0" w:space="0" w:color="auto"/>
      </w:divBdr>
    </w:div>
    <w:div w:id="664088435">
      <w:marLeft w:val="0"/>
      <w:marRight w:val="0"/>
      <w:marTop w:val="0"/>
      <w:marBottom w:val="0"/>
      <w:divBdr>
        <w:top w:val="none" w:sz="0" w:space="0" w:color="auto"/>
        <w:left w:val="none" w:sz="0" w:space="0" w:color="auto"/>
        <w:bottom w:val="none" w:sz="0" w:space="0" w:color="auto"/>
        <w:right w:val="none" w:sz="0" w:space="0" w:color="auto"/>
      </w:divBdr>
    </w:div>
    <w:div w:id="664088436">
      <w:marLeft w:val="0"/>
      <w:marRight w:val="0"/>
      <w:marTop w:val="0"/>
      <w:marBottom w:val="0"/>
      <w:divBdr>
        <w:top w:val="none" w:sz="0" w:space="0" w:color="auto"/>
        <w:left w:val="none" w:sz="0" w:space="0" w:color="auto"/>
        <w:bottom w:val="none" w:sz="0" w:space="0" w:color="auto"/>
        <w:right w:val="none" w:sz="0" w:space="0" w:color="auto"/>
      </w:divBdr>
    </w:div>
    <w:div w:id="664088437">
      <w:marLeft w:val="0"/>
      <w:marRight w:val="0"/>
      <w:marTop w:val="0"/>
      <w:marBottom w:val="0"/>
      <w:divBdr>
        <w:top w:val="none" w:sz="0" w:space="0" w:color="auto"/>
        <w:left w:val="none" w:sz="0" w:space="0" w:color="auto"/>
        <w:bottom w:val="none" w:sz="0" w:space="0" w:color="auto"/>
        <w:right w:val="none" w:sz="0" w:space="0" w:color="auto"/>
      </w:divBdr>
    </w:div>
    <w:div w:id="664088438">
      <w:marLeft w:val="0"/>
      <w:marRight w:val="0"/>
      <w:marTop w:val="0"/>
      <w:marBottom w:val="0"/>
      <w:divBdr>
        <w:top w:val="none" w:sz="0" w:space="0" w:color="auto"/>
        <w:left w:val="none" w:sz="0" w:space="0" w:color="auto"/>
        <w:bottom w:val="none" w:sz="0" w:space="0" w:color="auto"/>
        <w:right w:val="none" w:sz="0" w:space="0" w:color="auto"/>
      </w:divBdr>
    </w:div>
    <w:div w:id="664088439">
      <w:marLeft w:val="0"/>
      <w:marRight w:val="0"/>
      <w:marTop w:val="0"/>
      <w:marBottom w:val="0"/>
      <w:divBdr>
        <w:top w:val="none" w:sz="0" w:space="0" w:color="auto"/>
        <w:left w:val="none" w:sz="0" w:space="0" w:color="auto"/>
        <w:bottom w:val="none" w:sz="0" w:space="0" w:color="auto"/>
        <w:right w:val="none" w:sz="0" w:space="0" w:color="auto"/>
      </w:divBdr>
    </w:div>
    <w:div w:id="664088440">
      <w:marLeft w:val="0"/>
      <w:marRight w:val="0"/>
      <w:marTop w:val="0"/>
      <w:marBottom w:val="0"/>
      <w:divBdr>
        <w:top w:val="none" w:sz="0" w:space="0" w:color="auto"/>
        <w:left w:val="none" w:sz="0" w:space="0" w:color="auto"/>
        <w:bottom w:val="none" w:sz="0" w:space="0" w:color="auto"/>
        <w:right w:val="none" w:sz="0" w:space="0" w:color="auto"/>
      </w:divBdr>
    </w:div>
    <w:div w:id="664088441">
      <w:marLeft w:val="0"/>
      <w:marRight w:val="0"/>
      <w:marTop w:val="0"/>
      <w:marBottom w:val="0"/>
      <w:divBdr>
        <w:top w:val="none" w:sz="0" w:space="0" w:color="auto"/>
        <w:left w:val="none" w:sz="0" w:space="0" w:color="auto"/>
        <w:bottom w:val="none" w:sz="0" w:space="0" w:color="auto"/>
        <w:right w:val="none" w:sz="0" w:space="0" w:color="auto"/>
      </w:divBdr>
    </w:div>
    <w:div w:id="664088442">
      <w:marLeft w:val="0"/>
      <w:marRight w:val="0"/>
      <w:marTop w:val="0"/>
      <w:marBottom w:val="0"/>
      <w:divBdr>
        <w:top w:val="none" w:sz="0" w:space="0" w:color="auto"/>
        <w:left w:val="none" w:sz="0" w:space="0" w:color="auto"/>
        <w:bottom w:val="none" w:sz="0" w:space="0" w:color="auto"/>
        <w:right w:val="none" w:sz="0" w:space="0" w:color="auto"/>
      </w:divBdr>
    </w:div>
    <w:div w:id="664088443">
      <w:marLeft w:val="0"/>
      <w:marRight w:val="0"/>
      <w:marTop w:val="0"/>
      <w:marBottom w:val="0"/>
      <w:divBdr>
        <w:top w:val="none" w:sz="0" w:space="0" w:color="auto"/>
        <w:left w:val="none" w:sz="0" w:space="0" w:color="auto"/>
        <w:bottom w:val="none" w:sz="0" w:space="0" w:color="auto"/>
        <w:right w:val="none" w:sz="0" w:space="0" w:color="auto"/>
      </w:divBdr>
    </w:div>
    <w:div w:id="838345226">
      <w:bodyDiv w:val="1"/>
      <w:marLeft w:val="0"/>
      <w:marRight w:val="0"/>
      <w:marTop w:val="0"/>
      <w:marBottom w:val="0"/>
      <w:divBdr>
        <w:top w:val="none" w:sz="0" w:space="0" w:color="auto"/>
        <w:left w:val="none" w:sz="0" w:space="0" w:color="auto"/>
        <w:bottom w:val="none" w:sz="0" w:space="0" w:color="auto"/>
        <w:right w:val="none" w:sz="0" w:space="0" w:color="auto"/>
      </w:divBdr>
    </w:div>
    <w:div w:id="99282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544</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Jackelin Fernandez</dc:creator>
  <cp:lastModifiedBy>Jacqueline Fernandez Castillo</cp:lastModifiedBy>
  <cp:revision>6</cp:revision>
  <cp:lastPrinted>2019-01-17T20:35:00Z</cp:lastPrinted>
  <dcterms:created xsi:type="dcterms:W3CDTF">2019-01-15T14:07:00Z</dcterms:created>
  <dcterms:modified xsi:type="dcterms:W3CDTF">2019-01-17T20:35:00Z</dcterms:modified>
</cp:coreProperties>
</file>